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2" w:type="dxa"/>
        <w:tblInd w:w="-731" w:type="dxa"/>
        <w:tblLayout w:type="fixed"/>
        <w:tblLook w:val="04A0" w:firstRow="1" w:lastRow="0" w:firstColumn="1" w:lastColumn="0" w:noHBand="0" w:noVBand="1"/>
      </w:tblPr>
      <w:tblGrid>
        <w:gridCol w:w="3391"/>
        <w:gridCol w:w="567"/>
        <w:gridCol w:w="708"/>
        <w:gridCol w:w="1276"/>
        <w:gridCol w:w="742"/>
        <w:gridCol w:w="821"/>
        <w:gridCol w:w="705"/>
        <w:gridCol w:w="567"/>
        <w:gridCol w:w="567"/>
        <w:gridCol w:w="1418"/>
      </w:tblGrid>
      <w:tr w:rsidR="000567DD" w:rsidTr="000567DD">
        <w:trPr>
          <w:trHeight w:val="1560"/>
        </w:trPr>
        <w:tc>
          <w:tcPr>
            <w:tcW w:w="3391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Назив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Модул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noWrap/>
            <w:vAlign w:val="bottom"/>
            <w:hideMark/>
          </w:tcPr>
          <w:p w:rsidR="000567DD" w:rsidRDefault="000567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Семестар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 као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noWrap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Предавања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Вежбе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Други облици</w:t>
            </w:r>
            <w:r>
              <w:rPr>
                <w:rFonts w:ascii="Arial" w:hAnsi="Arial" w:cs="Arial"/>
                <w:sz w:val="20"/>
                <w:szCs w:val="20"/>
              </w:rPr>
              <w:br/>
              <w:t>наставе (ДОН)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0567DD" w:rsidRDefault="000567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Остало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00FFFF"/>
            <w:noWrap/>
            <w:vAlign w:val="bottom"/>
            <w:hideMark/>
          </w:tcPr>
          <w:p w:rsidR="000567DD" w:rsidRDefault="000567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ЕСПБ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0567DD" w:rsidRDefault="00056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Обавезни/</w:t>
            </w:r>
            <w:r>
              <w:rPr>
                <w:rFonts w:ascii="Arial" w:hAnsi="Arial" w:cs="Arial"/>
                <w:sz w:val="20"/>
                <w:szCs w:val="20"/>
              </w:rPr>
              <w:br/>
              <w:t>Изборни</w:t>
            </w:r>
          </w:p>
        </w:tc>
      </w:tr>
    </w:tbl>
    <w:tbl>
      <w:tblPr>
        <w:tblStyle w:val="TableGrid"/>
        <w:tblW w:w="10679" w:type="dxa"/>
        <w:tblInd w:w="-601" w:type="dxa"/>
        <w:tblLook w:val="04A0" w:firstRow="1" w:lastRow="0" w:firstColumn="1" w:lastColumn="0" w:noHBand="0" w:noVBand="1"/>
      </w:tblPr>
      <w:tblGrid>
        <w:gridCol w:w="3222"/>
        <w:gridCol w:w="592"/>
        <w:gridCol w:w="802"/>
        <w:gridCol w:w="1260"/>
        <w:gridCol w:w="645"/>
        <w:gridCol w:w="794"/>
        <w:gridCol w:w="727"/>
        <w:gridCol w:w="637"/>
        <w:gridCol w:w="546"/>
        <w:gridCol w:w="1454"/>
      </w:tblGrid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>
              <w:t>Техника академског писања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>
              <w:t>Обавезни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</w:tcPr>
          <w:p w:rsidR="000567DD" w:rsidRPr="000567DD" w:rsidRDefault="000567DD">
            <w:r w:rsidRPr="000567DD">
              <w:t>Филозофија књижевности</w:t>
            </w:r>
          </w:p>
        </w:tc>
        <w:tc>
          <w:tcPr>
            <w:tcW w:w="592" w:type="dxa"/>
            <w:noWrap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</w:tcPr>
          <w:p w:rsidR="000567DD" w:rsidRPr="002229F2" w:rsidRDefault="000567DD" w:rsidP="007A1927">
            <w:r w:rsidRPr="002229F2">
              <w:t>1</w:t>
            </w:r>
          </w:p>
        </w:tc>
        <w:tc>
          <w:tcPr>
            <w:tcW w:w="1260" w:type="dxa"/>
            <w:noWrap/>
          </w:tcPr>
          <w:p w:rsidR="000567DD" w:rsidRPr="002229F2" w:rsidRDefault="000567DD" w:rsidP="007A1927">
            <w:r w:rsidRPr="002229F2">
              <w:t>нема</w:t>
            </w:r>
          </w:p>
        </w:tc>
        <w:tc>
          <w:tcPr>
            <w:tcW w:w="645" w:type="dxa"/>
            <w:noWrap/>
          </w:tcPr>
          <w:p w:rsidR="000567DD" w:rsidRPr="002229F2" w:rsidRDefault="000567DD" w:rsidP="007A1927">
            <w:r w:rsidRPr="002229F2">
              <w:t>2</w:t>
            </w:r>
          </w:p>
        </w:tc>
        <w:tc>
          <w:tcPr>
            <w:tcW w:w="794" w:type="dxa"/>
            <w:noWrap/>
          </w:tcPr>
          <w:p w:rsidR="000567DD" w:rsidRPr="002229F2" w:rsidRDefault="000567DD" w:rsidP="007A1927">
            <w:r w:rsidRPr="002229F2">
              <w:t>2</w:t>
            </w:r>
          </w:p>
        </w:tc>
        <w:tc>
          <w:tcPr>
            <w:tcW w:w="727" w:type="dxa"/>
            <w:noWrap/>
          </w:tcPr>
          <w:p w:rsidR="000567DD" w:rsidRPr="002229F2" w:rsidRDefault="000567DD" w:rsidP="007A1927">
            <w:r w:rsidRPr="002229F2">
              <w:t>0</w:t>
            </w:r>
          </w:p>
        </w:tc>
        <w:tc>
          <w:tcPr>
            <w:tcW w:w="637" w:type="dxa"/>
            <w:noWrap/>
          </w:tcPr>
          <w:p w:rsidR="000567DD" w:rsidRPr="002229F2" w:rsidRDefault="000567DD" w:rsidP="007A1927">
            <w:r w:rsidRPr="002229F2">
              <w:t>0</w:t>
            </w:r>
          </w:p>
        </w:tc>
        <w:tc>
          <w:tcPr>
            <w:tcW w:w="546" w:type="dxa"/>
            <w:noWrap/>
          </w:tcPr>
          <w:p w:rsidR="000567DD" w:rsidRPr="002229F2" w:rsidRDefault="000567DD" w:rsidP="007A1927">
            <w:r w:rsidRPr="002229F2">
              <w:t>6</w:t>
            </w:r>
          </w:p>
        </w:tc>
        <w:tc>
          <w:tcPr>
            <w:tcW w:w="1454" w:type="dxa"/>
            <w:noWrap/>
          </w:tcPr>
          <w:p w:rsidR="000567DD" w:rsidRDefault="000567DD" w:rsidP="007A1927">
            <w:r w:rsidRPr="002229F2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Интеркултурна</w:t>
            </w:r>
            <w:proofErr w:type="spellEnd"/>
            <w:r w:rsidRPr="000567DD">
              <w:t xml:space="preserve"> комуникација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Језик и </w:t>
            </w:r>
            <w:proofErr w:type="spellStart"/>
            <w:r w:rsidRPr="000567DD">
              <w:t>когниција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Културна историја Индије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Увод у културу Интернета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Преглед књижевних теорија: </w:t>
            </w:r>
            <w:proofErr w:type="spellStart"/>
            <w:r w:rsidRPr="000567DD">
              <w:t>наратологија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Наслеђе Сопствене собе – појам рода и проучавање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Жанр и род - женски образовни роман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Књижевност и филм: преображаји дискурса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102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Методологија науке о књижевности: Примена </w:t>
            </w:r>
            <w:proofErr w:type="spellStart"/>
            <w:r w:rsidRPr="000567DD">
              <w:t>књижевноисториографских</w:t>
            </w:r>
            <w:proofErr w:type="spellEnd"/>
            <w:r w:rsidRPr="000567DD">
              <w:t xml:space="preserve"> метода (на примеру немачке националне књижевне историографије)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Шекспир и постмодерна култура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Интерпретативне теорије у настави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Ронал</w:t>
            </w:r>
            <w:proofErr w:type="spellEnd"/>
            <w:r w:rsidRPr="000567DD">
              <w:t xml:space="preserve"> Барт: текст и критика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Игра интерпретација - путеви компаративне </w:t>
            </w:r>
            <w:proofErr w:type="spellStart"/>
            <w:r w:rsidRPr="000567DD">
              <w:t>херменеутике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Методичка пракса: хоспитовање (руски језик)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/>
        </w:tc>
        <w:tc>
          <w:tcPr>
            <w:tcW w:w="592" w:type="dxa"/>
            <w:noWrap/>
            <w:hideMark/>
          </w:tcPr>
          <w:p w:rsidR="000567DD" w:rsidRPr="000567DD" w:rsidRDefault="000567DD"/>
        </w:tc>
        <w:tc>
          <w:tcPr>
            <w:tcW w:w="802" w:type="dxa"/>
            <w:noWrap/>
            <w:hideMark/>
          </w:tcPr>
          <w:p w:rsidR="000567DD" w:rsidRPr="000567DD" w:rsidRDefault="000567DD"/>
        </w:tc>
        <w:tc>
          <w:tcPr>
            <w:tcW w:w="1260" w:type="dxa"/>
            <w:noWrap/>
            <w:hideMark/>
          </w:tcPr>
          <w:p w:rsidR="000567DD" w:rsidRPr="000567DD" w:rsidRDefault="000567DD"/>
        </w:tc>
        <w:tc>
          <w:tcPr>
            <w:tcW w:w="645" w:type="dxa"/>
            <w:noWrap/>
            <w:hideMark/>
          </w:tcPr>
          <w:p w:rsidR="000567DD" w:rsidRPr="000567DD" w:rsidRDefault="000567DD"/>
        </w:tc>
        <w:tc>
          <w:tcPr>
            <w:tcW w:w="794" w:type="dxa"/>
            <w:noWrap/>
            <w:hideMark/>
          </w:tcPr>
          <w:p w:rsidR="000567DD" w:rsidRPr="000567DD" w:rsidRDefault="000567DD"/>
        </w:tc>
        <w:tc>
          <w:tcPr>
            <w:tcW w:w="727" w:type="dxa"/>
            <w:noWrap/>
            <w:hideMark/>
          </w:tcPr>
          <w:p w:rsidR="000567DD" w:rsidRPr="000567DD" w:rsidRDefault="000567DD"/>
        </w:tc>
        <w:tc>
          <w:tcPr>
            <w:tcW w:w="637" w:type="dxa"/>
            <w:noWrap/>
            <w:hideMark/>
          </w:tcPr>
          <w:p w:rsidR="000567DD" w:rsidRPr="000567DD" w:rsidRDefault="000567DD"/>
        </w:tc>
        <w:tc>
          <w:tcPr>
            <w:tcW w:w="546" w:type="dxa"/>
            <w:noWrap/>
            <w:hideMark/>
          </w:tcPr>
          <w:p w:rsidR="000567DD" w:rsidRPr="000567DD" w:rsidRDefault="000567DD"/>
        </w:tc>
        <w:tc>
          <w:tcPr>
            <w:tcW w:w="1454" w:type="dxa"/>
            <w:noWrap/>
            <w:hideMark/>
          </w:tcPr>
          <w:p w:rsidR="000567DD" w:rsidRPr="000567DD" w:rsidRDefault="000567DD"/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Мит и литература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Лингвистичка </w:t>
            </w:r>
            <w:proofErr w:type="spellStart"/>
            <w:r w:rsidRPr="000567DD">
              <w:t>русистика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Методика наставе руског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Методологија лингвистичких истраживања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Општа методика наставе словенских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lastRenderedPageBreak/>
              <w:t>Руска књижевност за децу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Руски футуризам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Пољско-српске</w:t>
            </w:r>
            <w:proofErr w:type="spellEnd"/>
            <w:r w:rsidRPr="000567DD">
              <w:t xml:space="preserve"> књижевне везе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bookmarkStart w:id="0" w:name="_GoBack"/>
            <w:bookmarkEnd w:id="0"/>
            <w:r w:rsidRPr="000567DD">
              <w:t>Фикција, фантастично и магично у савременој чешкој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Чешка књижевност у контексту других словенских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Развој чешког језика и чешке науке о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Постмодерна у словачкој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CLIL и настава италијанског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Историја институција културе у </w:t>
            </w:r>
            <w:proofErr w:type="spellStart"/>
            <w:r w:rsidRPr="000567DD">
              <w:t>италији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Историја италијанског театра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Италијански филм и књижевност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Италијански језик струке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Лингвистика и лексикографија - </w:t>
            </w:r>
            <w:proofErr w:type="spellStart"/>
            <w:r w:rsidRPr="000567DD">
              <w:t>италијанистика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Лингвистика и превођење - </w:t>
            </w:r>
            <w:proofErr w:type="spellStart"/>
            <w:r w:rsidRPr="000567DD">
              <w:t>италијанистика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Луиђи </w:t>
            </w:r>
            <w:proofErr w:type="spellStart"/>
            <w:r w:rsidRPr="000567DD">
              <w:t>Пирандело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Методичка пракса - хоспитовање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4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4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12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8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Преводилачка радионица - италијански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76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Специјалне теме из примењене лингвистике и наставе италијанског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Теме из примењене и образовне лингвистике италијанског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Теоријска мисао италијанске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Топоси</w:t>
            </w:r>
            <w:proofErr w:type="spellEnd"/>
            <w:r w:rsidRPr="000567DD">
              <w:t>, теме и мотиви италијанске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Италијанске и шпанске институције културе у компаративном контексту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Лексичка семантика француског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Лингвистичке теорије текста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Методика наставе француског </w:t>
            </w:r>
            <w:r w:rsidRPr="000567DD">
              <w:lastRenderedPageBreak/>
              <w:t>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lastRenderedPageBreak/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lastRenderedPageBreak/>
              <w:t>Простор и време у француском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заједнички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Специјални курс из француске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Специјални курс из франкофоне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Специјални курс из граматике француског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Академско писање на шпанском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Експериментални роман у </w:t>
            </w:r>
            <w:proofErr w:type="spellStart"/>
            <w:r w:rsidRPr="000567DD">
              <w:t>хиспаноамеричкој</w:t>
            </w:r>
            <w:proofErr w:type="spellEnd"/>
            <w:r w:rsidRPr="000567DD">
              <w:t xml:space="preserve"> књижевности XX века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Иберороманска</w:t>
            </w:r>
            <w:proofErr w:type="spellEnd"/>
            <w:r w:rsidRPr="000567DD">
              <w:t xml:space="preserve"> </w:t>
            </w:r>
            <w:proofErr w:type="spellStart"/>
            <w:r w:rsidRPr="000567DD">
              <w:t>социолингвистика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Језик и род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Критичка анализа дискурса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Kвалитативна</w:t>
            </w:r>
            <w:proofErr w:type="spellEnd"/>
            <w:r w:rsidRPr="000567DD">
              <w:t xml:space="preserve"> истраживања у лингвистици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Лектура и коректура текстова на шпанском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Модернизам у </w:t>
            </w:r>
            <w:proofErr w:type="spellStart"/>
            <w:r w:rsidRPr="000567DD">
              <w:t>хиспаноамеричкој</w:t>
            </w:r>
            <w:proofErr w:type="spellEnd"/>
            <w:r w:rsidRPr="000567DD">
              <w:t xml:space="preserve">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Насиље у </w:t>
            </w:r>
            <w:proofErr w:type="spellStart"/>
            <w:r w:rsidRPr="000567DD">
              <w:t>хиспаноамеричком</w:t>
            </w:r>
            <w:proofErr w:type="spellEnd"/>
            <w:r w:rsidRPr="000567DD">
              <w:t xml:space="preserve"> роману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Специјалне теме из примењене лингвистике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Специјалне теме из </w:t>
            </w:r>
            <w:proofErr w:type="spellStart"/>
            <w:r w:rsidRPr="000567DD">
              <w:t>социолингвистике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Традуктологија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Жена у шпанској књижевности реализма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Књижевност румунске дијаспоре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Књижевност румунске мањине у Војводини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Румунска култура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Стилистика румунског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Граматичка </w:t>
            </w:r>
            <w:proofErr w:type="spellStart"/>
            <w:r w:rsidRPr="000567DD">
              <w:t>социолингвистика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Интеркултурна</w:t>
            </w:r>
            <w:proofErr w:type="spellEnd"/>
            <w:r w:rsidRPr="000567DD">
              <w:t xml:space="preserve"> </w:t>
            </w:r>
            <w:proofErr w:type="spellStart"/>
            <w:r w:rsidRPr="000567DD">
              <w:t>глотодидактика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Историјска фразеологија немачког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Конференцијско превођење за германисте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lastRenderedPageBreak/>
              <w:t>Контрастивна</w:t>
            </w:r>
            <w:proofErr w:type="spellEnd"/>
            <w:r w:rsidRPr="000567DD">
              <w:t xml:space="preserve"> граматика немачког и српског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Немачка књижевност као мањинска књижевност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Специјални курс из скандинавских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Специјални курс из скандинавске књижевности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Англистичка </w:t>
            </w:r>
            <w:proofErr w:type="spellStart"/>
            <w:r w:rsidRPr="000567DD">
              <w:t>aкустичка</w:t>
            </w:r>
            <w:proofErr w:type="spellEnd"/>
            <w:r w:rsidRPr="000567DD">
              <w:t xml:space="preserve"> фонетика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Енглеска и француска средњовековна </w:t>
            </w:r>
            <w:proofErr w:type="spellStart"/>
            <w:r w:rsidRPr="000567DD">
              <w:t>артуријанска</w:t>
            </w:r>
            <w:proofErr w:type="spellEnd"/>
            <w:r w:rsidRPr="000567DD">
              <w:t xml:space="preserve"> књижевност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Интеркултуралност</w:t>
            </w:r>
            <w:proofErr w:type="spellEnd"/>
            <w:r w:rsidRPr="000567DD">
              <w:t xml:space="preserve"> у савременој Британији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60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Ирска драма двадесетог века на енглеском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9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Ирска проза двадесетог века на енглеском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3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Канадска постмодерна проза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9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Књижевни правци и теорије у енглеској књижевности XX века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76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Контракултурни</w:t>
            </w:r>
            <w:proofErr w:type="spellEnd"/>
            <w:r w:rsidRPr="000567DD">
              <w:t xml:space="preserve"> трендови у британској и америчкој популарној музици </w:t>
            </w:r>
            <w:proofErr w:type="spellStart"/>
            <w:r w:rsidRPr="000567DD">
              <w:t>шездестих</w:t>
            </w:r>
            <w:proofErr w:type="spellEnd"/>
            <w:r w:rsidRPr="000567DD">
              <w:t xml:space="preserve"> година ХХ века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9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Контрастивна</w:t>
            </w:r>
            <w:proofErr w:type="spellEnd"/>
            <w:r w:rsidRPr="000567DD">
              <w:t xml:space="preserve"> лингвистика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49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Настава енглеског језика и култура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noWrap/>
            <w:hideMark/>
          </w:tcPr>
          <w:p w:rsidR="000567DD" w:rsidRPr="000567DD" w:rsidRDefault="000567DD">
            <w:r w:rsidRPr="000567DD">
              <w:t>Специјалистичко превођење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noWrap/>
            <w:hideMark/>
          </w:tcPr>
          <w:p w:rsidR="000567DD" w:rsidRPr="000567DD" w:rsidRDefault="000567DD"/>
        </w:tc>
        <w:tc>
          <w:tcPr>
            <w:tcW w:w="592" w:type="dxa"/>
            <w:noWrap/>
            <w:hideMark/>
          </w:tcPr>
          <w:p w:rsidR="000567DD" w:rsidRPr="000567DD" w:rsidRDefault="000567DD"/>
        </w:tc>
        <w:tc>
          <w:tcPr>
            <w:tcW w:w="802" w:type="dxa"/>
            <w:noWrap/>
            <w:hideMark/>
          </w:tcPr>
          <w:p w:rsidR="000567DD" w:rsidRPr="000567DD" w:rsidRDefault="000567DD"/>
        </w:tc>
        <w:tc>
          <w:tcPr>
            <w:tcW w:w="1260" w:type="dxa"/>
            <w:noWrap/>
            <w:hideMark/>
          </w:tcPr>
          <w:p w:rsidR="000567DD" w:rsidRPr="000567DD" w:rsidRDefault="000567DD"/>
        </w:tc>
        <w:tc>
          <w:tcPr>
            <w:tcW w:w="645" w:type="dxa"/>
            <w:noWrap/>
            <w:hideMark/>
          </w:tcPr>
          <w:p w:rsidR="000567DD" w:rsidRPr="000567DD" w:rsidRDefault="000567DD"/>
        </w:tc>
        <w:tc>
          <w:tcPr>
            <w:tcW w:w="794" w:type="dxa"/>
            <w:noWrap/>
            <w:hideMark/>
          </w:tcPr>
          <w:p w:rsidR="000567DD" w:rsidRPr="000567DD" w:rsidRDefault="000567DD"/>
        </w:tc>
        <w:tc>
          <w:tcPr>
            <w:tcW w:w="727" w:type="dxa"/>
            <w:noWrap/>
            <w:hideMark/>
          </w:tcPr>
          <w:p w:rsidR="000567DD" w:rsidRPr="000567DD" w:rsidRDefault="000567DD"/>
        </w:tc>
        <w:tc>
          <w:tcPr>
            <w:tcW w:w="637" w:type="dxa"/>
            <w:noWrap/>
            <w:hideMark/>
          </w:tcPr>
          <w:p w:rsidR="000567DD" w:rsidRPr="000567DD" w:rsidRDefault="000567DD"/>
        </w:tc>
        <w:tc>
          <w:tcPr>
            <w:tcW w:w="546" w:type="dxa"/>
            <w:noWrap/>
            <w:hideMark/>
          </w:tcPr>
          <w:p w:rsidR="000567DD" w:rsidRPr="000567DD" w:rsidRDefault="000567DD"/>
        </w:tc>
        <w:tc>
          <w:tcPr>
            <w:tcW w:w="1454" w:type="dxa"/>
            <w:noWrap/>
            <w:hideMark/>
          </w:tcPr>
          <w:p w:rsidR="000567DD" w:rsidRPr="000567DD" w:rsidRDefault="000567DD"/>
        </w:tc>
      </w:tr>
      <w:tr w:rsidR="000567DD" w:rsidRPr="000567DD" w:rsidTr="000567DD">
        <w:trPr>
          <w:trHeight w:val="255"/>
        </w:trPr>
        <w:tc>
          <w:tcPr>
            <w:tcW w:w="3222" w:type="dxa"/>
            <w:noWrap/>
            <w:hideMark/>
          </w:tcPr>
          <w:p w:rsidR="000567DD" w:rsidRPr="000567DD" w:rsidRDefault="000567DD">
            <w:r w:rsidRPr="000567DD">
              <w:t>Стилистика непоетског дискурса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noWrap/>
            <w:hideMark/>
          </w:tcPr>
          <w:p w:rsidR="000567DD" w:rsidRPr="000567DD" w:rsidRDefault="000567DD">
            <w:proofErr w:type="spellStart"/>
            <w:r w:rsidRPr="000567DD">
              <w:t>Транслатологија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noWrap/>
            <w:hideMark/>
          </w:tcPr>
          <w:p w:rsidR="000567DD" w:rsidRPr="000567DD" w:rsidRDefault="000567DD"/>
        </w:tc>
        <w:tc>
          <w:tcPr>
            <w:tcW w:w="592" w:type="dxa"/>
            <w:noWrap/>
            <w:hideMark/>
          </w:tcPr>
          <w:p w:rsidR="000567DD" w:rsidRPr="000567DD" w:rsidRDefault="000567DD"/>
        </w:tc>
        <w:tc>
          <w:tcPr>
            <w:tcW w:w="802" w:type="dxa"/>
            <w:noWrap/>
            <w:hideMark/>
          </w:tcPr>
          <w:p w:rsidR="000567DD" w:rsidRPr="000567DD" w:rsidRDefault="000567DD"/>
        </w:tc>
        <w:tc>
          <w:tcPr>
            <w:tcW w:w="1260" w:type="dxa"/>
            <w:noWrap/>
            <w:hideMark/>
          </w:tcPr>
          <w:p w:rsidR="000567DD" w:rsidRPr="000567DD" w:rsidRDefault="000567DD"/>
        </w:tc>
        <w:tc>
          <w:tcPr>
            <w:tcW w:w="645" w:type="dxa"/>
            <w:noWrap/>
            <w:hideMark/>
          </w:tcPr>
          <w:p w:rsidR="000567DD" w:rsidRPr="000567DD" w:rsidRDefault="000567DD"/>
        </w:tc>
        <w:tc>
          <w:tcPr>
            <w:tcW w:w="794" w:type="dxa"/>
            <w:noWrap/>
            <w:hideMark/>
          </w:tcPr>
          <w:p w:rsidR="000567DD" w:rsidRPr="000567DD" w:rsidRDefault="000567DD"/>
        </w:tc>
        <w:tc>
          <w:tcPr>
            <w:tcW w:w="727" w:type="dxa"/>
            <w:noWrap/>
            <w:hideMark/>
          </w:tcPr>
          <w:p w:rsidR="000567DD" w:rsidRPr="000567DD" w:rsidRDefault="000567DD"/>
        </w:tc>
        <w:tc>
          <w:tcPr>
            <w:tcW w:w="637" w:type="dxa"/>
            <w:noWrap/>
            <w:hideMark/>
          </w:tcPr>
          <w:p w:rsidR="000567DD" w:rsidRPr="000567DD" w:rsidRDefault="000567DD"/>
        </w:tc>
        <w:tc>
          <w:tcPr>
            <w:tcW w:w="546" w:type="dxa"/>
            <w:noWrap/>
            <w:hideMark/>
          </w:tcPr>
          <w:p w:rsidR="000567DD" w:rsidRPr="000567DD" w:rsidRDefault="000567DD"/>
        </w:tc>
        <w:tc>
          <w:tcPr>
            <w:tcW w:w="1454" w:type="dxa"/>
            <w:noWrap/>
            <w:hideMark/>
          </w:tcPr>
          <w:p w:rsidR="000567DD" w:rsidRPr="000567DD" w:rsidRDefault="000567DD"/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Увод у консекутивно превођење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/>
        </w:tc>
        <w:tc>
          <w:tcPr>
            <w:tcW w:w="592" w:type="dxa"/>
            <w:noWrap/>
            <w:hideMark/>
          </w:tcPr>
          <w:p w:rsidR="000567DD" w:rsidRPr="000567DD" w:rsidRDefault="000567DD"/>
        </w:tc>
        <w:tc>
          <w:tcPr>
            <w:tcW w:w="802" w:type="dxa"/>
            <w:noWrap/>
            <w:hideMark/>
          </w:tcPr>
          <w:p w:rsidR="000567DD" w:rsidRPr="000567DD" w:rsidRDefault="000567DD"/>
        </w:tc>
        <w:tc>
          <w:tcPr>
            <w:tcW w:w="1260" w:type="dxa"/>
            <w:noWrap/>
            <w:hideMark/>
          </w:tcPr>
          <w:p w:rsidR="000567DD" w:rsidRPr="000567DD" w:rsidRDefault="000567DD"/>
        </w:tc>
        <w:tc>
          <w:tcPr>
            <w:tcW w:w="645" w:type="dxa"/>
            <w:noWrap/>
            <w:hideMark/>
          </w:tcPr>
          <w:p w:rsidR="000567DD" w:rsidRPr="000567DD" w:rsidRDefault="000567DD"/>
        </w:tc>
        <w:tc>
          <w:tcPr>
            <w:tcW w:w="794" w:type="dxa"/>
            <w:noWrap/>
            <w:hideMark/>
          </w:tcPr>
          <w:p w:rsidR="000567DD" w:rsidRPr="000567DD" w:rsidRDefault="000567DD"/>
        </w:tc>
        <w:tc>
          <w:tcPr>
            <w:tcW w:w="727" w:type="dxa"/>
            <w:noWrap/>
            <w:hideMark/>
          </w:tcPr>
          <w:p w:rsidR="000567DD" w:rsidRPr="000567DD" w:rsidRDefault="000567DD"/>
        </w:tc>
        <w:tc>
          <w:tcPr>
            <w:tcW w:w="637" w:type="dxa"/>
            <w:noWrap/>
            <w:hideMark/>
          </w:tcPr>
          <w:p w:rsidR="000567DD" w:rsidRPr="000567DD" w:rsidRDefault="000567DD"/>
        </w:tc>
        <w:tc>
          <w:tcPr>
            <w:tcW w:w="546" w:type="dxa"/>
            <w:noWrap/>
            <w:hideMark/>
          </w:tcPr>
          <w:p w:rsidR="000567DD" w:rsidRPr="000567DD" w:rsidRDefault="000567DD"/>
        </w:tc>
        <w:tc>
          <w:tcPr>
            <w:tcW w:w="1454" w:type="dxa"/>
            <w:noWrap/>
            <w:hideMark/>
          </w:tcPr>
          <w:p w:rsidR="000567DD" w:rsidRPr="000567DD" w:rsidRDefault="000567DD"/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Арапска лексикографија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Европски колонијализам и арапски свет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Исламска филозофија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Историја арапског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Неарапски</w:t>
            </w:r>
            <w:proofErr w:type="spellEnd"/>
            <w:r w:rsidRPr="000567DD">
              <w:t xml:space="preserve"> ислам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Савремена књижевност </w:t>
            </w:r>
            <w:r w:rsidRPr="000567DD">
              <w:lastRenderedPageBreak/>
              <w:t>Магреба 3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lastRenderedPageBreak/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lastRenderedPageBreak/>
              <w:t>Културна историја Турске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Покрет језичког пуризма у турском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Османизми у савременом турском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Османска баштина на тлу Србије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Постмодерна турска књижевност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Традиционална и савремена турска уметност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Турцизми у српском језику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Будизам у Кини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Историјски преглед развоја граматике кинеског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Кинески </w:t>
            </w:r>
            <w:proofErr w:type="spellStart"/>
            <w:r w:rsidRPr="000567DD">
              <w:t>модернизми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Морфологија и лексикологија кинеског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Пејзаж у класичној кинеској поезији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Путописи Срба о Кини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Савремена кинеска проза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Кинеска драма 20. века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Актуелене</w:t>
            </w:r>
            <w:proofErr w:type="spellEnd"/>
            <w:r w:rsidRPr="000567DD">
              <w:t xml:space="preserve"> теме из савремене лингвистике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Дискурс јавне комуникације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/>
        </w:tc>
        <w:tc>
          <w:tcPr>
            <w:tcW w:w="592" w:type="dxa"/>
            <w:noWrap/>
            <w:hideMark/>
          </w:tcPr>
          <w:p w:rsidR="000567DD" w:rsidRPr="000567DD" w:rsidRDefault="000567DD"/>
        </w:tc>
        <w:tc>
          <w:tcPr>
            <w:tcW w:w="802" w:type="dxa"/>
            <w:noWrap/>
            <w:hideMark/>
          </w:tcPr>
          <w:p w:rsidR="000567DD" w:rsidRPr="000567DD" w:rsidRDefault="000567DD"/>
        </w:tc>
        <w:tc>
          <w:tcPr>
            <w:tcW w:w="1260" w:type="dxa"/>
            <w:noWrap/>
            <w:hideMark/>
          </w:tcPr>
          <w:p w:rsidR="000567DD" w:rsidRPr="000567DD" w:rsidRDefault="000567DD"/>
        </w:tc>
        <w:tc>
          <w:tcPr>
            <w:tcW w:w="645" w:type="dxa"/>
            <w:noWrap/>
            <w:hideMark/>
          </w:tcPr>
          <w:p w:rsidR="000567DD" w:rsidRPr="000567DD" w:rsidRDefault="000567DD"/>
        </w:tc>
        <w:tc>
          <w:tcPr>
            <w:tcW w:w="794" w:type="dxa"/>
            <w:noWrap/>
            <w:hideMark/>
          </w:tcPr>
          <w:p w:rsidR="000567DD" w:rsidRPr="000567DD" w:rsidRDefault="000567DD"/>
        </w:tc>
        <w:tc>
          <w:tcPr>
            <w:tcW w:w="727" w:type="dxa"/>
            <w:noWrap/>
            <w:hideMark/>
          </w:tcPr>
          <w:p w:rsidR="000567DD" w:rsidRPr="000567DD" w:rsidRDefault="000567DD"/>
        </w:tc>
        <w:tc>
          <w:tcPr>
            <w:tcW w:w="637" w:type="dxa"/>
            <w:noWrap/>
            <w:hideMark/>
          </w:tcPr>
          <w:p w:rsidR="000567DD" w:rsidRPr="000567DD" w:rsidRDefault="000567DD"/>
        </w:tc>
        <w:tc>
          <w:tcPr>
            <w:tcW w:w="546" w:type="dxa"/>
            <w:noWrap/>
            <w:hideMark/>
          </w:tcPr>
          <w:p w:rsidR="000567DD" w:rsidRPr="000567DD" w:rsidRDefault="000567DD"/>
        </w:tc>
        <w:tc>
          <w:tcPr>
            <w:tcW w:w="1454" w:type="dxa"/>
            <w:noWrap/>
            <w:hideMark/>
          </w:tcPr>
          <w:p w:rsidR="000567DD" w:rsidRPr="000567DD" w:rsidRDefault="000567DD"/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Квалитативна истраживања у лингвистици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Квантитативне методе у лингвистичким истраживањима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Савремене фонолошке теорије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Савремене морфолошке теорије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Савремене семантичке теорије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Савремене синтаксичке теорије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Библиографија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Библиометрија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Библиотеке у настави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Документалистика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Електронско издаваштво и дигиталне библиотеке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Информациона и медијска писменост у науци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lastRenderedPageBreak/>
              <w:t>Информациона и медијска писменост у школској библиотеци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Компаративне студије савременог библиотекарства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Националне библиотеке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Напредне методе у проналажењу информација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Научне информације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Обликовање и одржавање садржаја на </w:t>
            </w:r>
            <w:proofErr w:type="spellStart"/>
            <w:r w:rsidRPr="000567DD">
              <w:t>вебу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Стандарди у библиотекарству и </w:t>
            </w:r>
            <w:proofErr w:type="spellStart"/>
            <w:r w:rsidRPr="000567DD">
              <w:t>издаваштви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Методичка пракса: хоспитовање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Историја савремене југоисточне Европе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Методика наставе грчког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Поетика криминалистичког романа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Примена реторике у настави страних језика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Рецепција грчке књижевности код Срба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Специјални курс - поетика </w:t>
            </w:r>
            <w:proofErr w:type="spellStart"/>
            <w:r w:rsidRPr="000567DD">
              <w:t>Дежеа</w:t>
            </w:r>
            <w:proofErr w:type="spellEnd"/>
            <w:r w:rsidRPr="000567DD">
              <w:t xml:space="preserve"> </w:t>
            </w:r>
            <w:proofErr w:type="spellStart"/>
            <w:r w:rsidRPr="000567DD">
              <w:t>Костолањија</w:t>
            </w:r>
            <w:proofErr w:type="spellEnd"/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Ендре</w:t>
            </w:r>
            <w:proofErr w:type="spellEnd"/>
            <w:r w:rsidRPr="000567DD">
              <w:t xml:space="preserve"> Ади и српска </w:t>
            </w:r>
            <w:proofErr w:type="spellStart"/>
            <w:r w:rsidRPr="000567DD">
              <w:t>књижевнос</w:t>
            </w:r>
            <w:proofErr w:type="spellEnd"/>
            <w:r w:rsidRPr="000567DD">
              <w:t xml:space="preserve"> 20. века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Српско-словеначке</w:t>
            </w:r>
            <w:proofErr w:type="spellEnd"/>
            <w:r w:rsidRPr="000567DD">
              <w:t xml:space="preserve"> </w:t>
            </w:r>
            <w:proofErr w:type="spellStart"/>
            <w:r w:rsidRPr="000567DD">
              <w:t>међукултурне</w:t>
            </w:r>
            <w:proofErr w:type="spellEnd"/>
            <w:r w:rsidRPr="000567DD">
              <w:t xml:space="preserve"> студије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510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 xml:space="preserve">Низоземска колонијална и </w:t>
            </w:r>
            <w:proofErr w:type="spellStart"/>
            <w:r w:rsidRPr="000567DD">
              <w:t>постколонијална</w:t>
            </w:r>
            <w:proofErr w:type="spellEnd"/>
            <w:r w:rsidRPr="000567DD">
              <w:t xml:space="preserve"> књижевност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proofErr w:type="spellStart"/>
            <w:r w:rsidRPr="000567DD">
              <w:t>Низоземско-српске</w:t>
            </w:r>
            <w:proofErr w:type="spellEnd"/>
            <w:r w:rsidRPr="000567DD">
              <w:t xml:space="preserve"> културне везе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  <w:tr w:rsidR="000567DD" w:rsidRPr="000567DD" w:rsidTr="000567DD">
        <w:trPr>
          <w:trHeight w:val="255"/>
        </w:trPr>
        <w:tc>
          <w:tcPr>
            <w:tcW w:w="3222" w:type="dxa"/>
            <w:hideMark/>
          </w:tcPr>
          <w:p w:rsidR="000567DD" w:rsidRPr="000567DD" w:rsidRDefault="000567DD">
            <w:r w:rsidRPr="000567DD">
              <w:t>Лингвистика текста</w:t>
            </w:r>
          </w:p>
        </w:tc>
        <w:tc>
          <w:tcPr>
            <w:tcW w:w="592" w:type="dxa"/>
            <w:noWrap/>
            <w:hideMark/>
          </w:tcPr>
          <w:p w:rsidR="000567DD" w:rsidRPr="000567DD" w:rsidRDefault="000567DD">
            <w:r w:rsidRPr="000567DD">
              <w:t>ЗАЈ</w:t>
            </w:r>
          </w:p>
        </w:tc>
        <w:tc>
          <w:tcPr>
            <w:tcW w:w="802" w:type="dxa"/>
            <w:noWrap/>
            <w:hideMark/>
          </w:tcPr>
          <w:p w:rsidR="000567DD" w:rsidRPr="000567DD" w:rsidRDefault="000567DD">
            <w:r w:rsidRPr="000567DD">
              <w:t>1</w:t>
            </w:r>
          </w:p>
        </w:tc>
        <w:tc>
          <w:tcPr>
            <w:tcW w:w="1260" w:type="dxa"/>
            <w:noWrap/>
            <w:hideMark/>
          </w:tcPr>
          <w:p w:rsidR="000567DD" w:rsidRPr="000567DD" w:rsidRDefault="000567DD">
            <w:r w:rsidRPr="000567DD">
              <w:t>нема</w:t>
            </w:r>
          </w:p>
        </w:tc>
        <w:tc>
          <w:tcPr>
            <w:tcW w:w="645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94" w:type="dxa"/>
            <w:noWrap/>
            <w:hideMark/>
          </w:tcPr>
          <w:p w:rsidR="000567DD" w:rsidRPr="000567DD" w:rsidRDefault="000567DD">
            <w:r w:rsidRPr="000567DD">
              <w:t>2</w:t>
            </w:r>
          </w:p>
        </w:tc>
        <w:tc>
          <w:tcPr>
            <w:tcW w:w="72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637" w:type="dxa"/>
            <w:noWrap/>
            <w:hideMark/>
          </w:tcPr>
          <w:p w:rsidR="000567DD" w:rsidRPr="000567DD" w:rsidRDefault="000567DD">
            <w:r w:rsidRPr="000567DD">
              <w:t>0</w:t>
            </w:r>
          </w:p>
        </w:tc>
        <w:tc>
          <w:tcPr>
            <w:tcW w:w="546" w:type="dxa"/>
            <w:noWrap/>
            <w:hideMark/>
          </w:tcPr>
          <w:p w:rsidR="000567DD" w:rsidRPr="000567DD" w:rsidRDefault="000567DD">
            <w:r w:rsidRPr="000567DD">
              <w:t>6</w:t>
            </w:r>
          </w:p>
        </w:tc>
        <w:tc>
          <w:tcPr>
            <w:tcW w:w="1454" w:type="dxa"/>
            <w:noWrap/>
            <w:hideMark/>
          </w:tcPr>
          <w:p w:rsidR="000567DD" w:rsidRPr="000567DD" w:rsidRDefault="000567DD">
            <w:r w:rsidRPr="000567DD">
              <w:t>Изборни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7DD"/>
    <w:rsid w:val="000567DD"/>
    <w:rsid w:val="0072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67D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67DD"/>
    <w:rPr>
      <w:color w:val="800080"/>
      <w:u w:val="single"/>
    </w:rPr>
  </w:style>
  <w:style w:type="paragraph" w:customStyle="1" w:styleId="xl66">
    <w:name w:val="xl66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7">
    <w:name w:val="xl67"/>
    <w:basedOn w:val="Normal"/>
    <w:rsid w:val="000567D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8">
    <w:name w:val="xl68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0567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0567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5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567D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67DD"/>
    <w:rPr>
      <w:color w:val="800080"/>
      <w:u w:val="single"/>
    </w:rPr>
  </w:style>
  <w:style w:type="paragraph" w:customStyle="1" w:styleId="xl66">
    <w:name w:val="xl66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7">
    <w:name w:val="xl67"/>
    <w:basedOn w:val="Normal"/>
    <w:rsid w:val="000567D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8">
    <w:name w:val="xl68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9">
    <w:name w:val="xl69"/>
    <w:basedOn w:val="Normal"/>
    <w:rsid w:val="000567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0">
    <w:name w:val="xl70"/>
    <w:basedOn w:val="Normal"/>
    <w:rsid w:val="000567D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1">
    <w:name w:val="xl71"/>
    <w:basedOn w:val="Normal"/>
    <w:rsid w:val="000567D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5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1</cp:revision>
  <dcterms:created xsi:type="dcterms:W3CDTF">2015-03-02T11:44:00Z</dcterms:created>
  <dcterms:modified xsi:type="dcterms:W3CDTF">2015-03-02T11:50:00Z</dcterms:modified>
</cp:coreProperties>
</file>